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28C" w:rsidRDefault="002250B3">
      <w:pPr>
        <w:jc w:val="center"/>
        <w:rPr>
          <w:rFonts w:ascii="黑体" w:eastAsia="黑体"/>
          <w:sz w:val="28"/>
          <w:szCs w:val="28"/>
        </w:rPr>
      </w:pPr>
      <w:bookmarkStart w:id="0" w:name="_GoBack"/>
      <w:bookmarkEnd w:id="0"/>
      <w:proofErr w:type="gramStart"/>
      <w:r>
        <w:rPr>
          <w:rFonts w:ascii="黑体" w:eastAsia="黑体" w:hint="eastAsia"/>
          <w:sz w:val="28"/>
          <w:szCs w:val="28"/>
        </w:rPr>
        <w:t>京蓝科技</w:t>
      </w:r>
      <w:proofErr w:type="gramEnd"/>
      <w:r>
        <w:rPr>
          <w:rFonts w:ascii="黑体" w:eastAsia="黑体" w:hint="eastAsia"/>
          <w:sz w:val="28"/>
          <w:szCs w:val="28"/>
        </w:rPr>
        <w:t>股份有限公司</w:t>
      </w:r>
      <w:bookmarkStart w:id="1" w:name="OLE_LINK2"/>
      <w:bookmarkStart w:id="2" w:name="OLE_LINK1"/>
    </w:p>
    <w:p w:rsidR="004A228C" w:rsidRDefault="002250B3">
      <w:pPr>
        <w:jc w:val="center"/>
        <w:rPr>
          <w:rFonts w:ascii="黑体" w:eastAsia="黑体"/>
          <w:sz w:val="28"/>
          <w:szCs w:val="28"/>
        </w:rPr>
      </w:pPr>
      <w:r>
        <w:rPr>
          <w:rFonts w:ascii="黑体" w:eastAsia="黑体" w:hint="eastAsia"/>
          <w:sz w:val="28"/>
          <w:szCs w:val="28"/>
        </w:rPr>
        <w:t>独立董事关于第八届董事会第四十一次会议</w:t>
      </w:r>
    </w:p>
    <w:p w:rsidR="004A228C" w:rsidRDefault="002250B3">
      <w:pPr>
        <w:jc w:val="center"/>
        <w:rPr>
          <w:rFonts w:ascii="黑体" w:eastAsia="黑体"/>
          <w:sz w:val="28"/>
          <w:szCs w:val="28"/>
        </w:rPr>
      </w:pPr>
      <w:r>
        <w:rPr>
          <w:rFonts w:ascii="黑体" w:eastAsia="黑体" w:hint="eastAsia"/>
          <w:sz w:val="28"/>
          <w:szCs w:val="28"/>
        </w:rPr>
        <w:t>相关议案的独立意见</w:t>
      </w:r>
    </w:p>
    <w:bookmarkEnd w:id="1"/>
    <w:bookmarkEnd w:id="2"/>
    <w:p w:rsidR="004A228C" w:rsidRDefault="002250B3">
      <w:pPr>
        <w:spacing w:beforeLines="50" w:before="156" w:afterLines="50" w:after="156"/>
        <w:ind w:firstLine="480"/>
        <w:rPr>
          <w:rFonts w:ascii="宋体" w:hAnsi="宋体"/>
          <w:sz w:val="24"/>
        </w:rPr>
      </w:pPr>
      <w:r>
        <w:rPr>
          <w:rFonts w:ascii="宋体" w:hAnsi="宋体" w:hint="eastAsia"/>
          <w:sz w:val="24"/>
        </w:rPr>
        <w:t>根据《深圳证券交易所股票上市规则》、《关于在上市公司建立独立董事制度的指导意见》、《京蓝科技股份有限公司章程》</w:t>
      </w:r>
      <w:r>
        <w:rPr>
          <w:rFonts w:ascii="宋体" w:hAnsi="宋体"/>
          <w:sz w:val="24"/>
        </w:rPr>
        <w:t>(</w:t>
      </w:r>
      <w:r>
        <w:rPr>
          <w:rFonts w:ascii="宋体" w:hAnsi="宋体" w:hint="eastAsia"/>
          <w:sz w:val="24"/>
        </w:rPr>
        <w:t>以下简称“</w:t>
      </w:r>
      <w:r>
        <w:rPr>
          <w:rFonts w:ascii="宋体" w:hAnsi="宋体"/>
          <w:sz w:val="24"/>
        </w:rPr>
        <w:t>《公司章程》</w:t>
      </w:r>
      <w:r>
        <w:rPr>
          <w:rFonts w:ascii="宋体" w:hAnsi="宋体" w:hint="eastAsia"/>
          <w:sz w:val="24"/>
        </w:rPr>
        <w:t>”</w:t>
      </w:r>
      <w:r>
        <w:rPr>
          <w:rFonts w:ascii="宋体" w:hAnsi="宋体"/>
          <w:sz w:val="24"/>
        </w:rPr>
        <w:t>)</w:t>
      </w:r>
      <w:r>
        <w:rPr>
          <w:rFonts w:ascii="宋体" w:hAnsi="宋体" w:hint="eastAsia"/>
          <w:sz w:val="24"/>
        </w:rPr>
        <w:t>等有关规定，我们作为</w:t>
      </w:r>
      <w:proofErr w:type="gramStart"/>
      <w:r>
        <w:rPr>
          <w:rFonts w:ascii="宋体" w:hAnsi="宋体" w:hint="eastAsia"/>
          <w:sz w:val="24"/>
        </w:rPr>
        <w:t>京蓝科技</w:t>
      </w:r>
      <w:proofErr w:type="gramEnd"/>
      <w:r>
        <w:rPr>
          <w:rFonts w:ascii="宋体" w:hAnsi="宋体" w:hint="eastAsia"/>
          <w:sz w:val="24"/>
        </w:rPr>
        <w:t>股份有限公司</w:t>
      </w:r>
      <w:r>
        <w:rPr>
          <w:rFonts w:ascii="宋体" w:hAnsi="宋体" w:hint="eastAsia"/>
          <w:sz w:val="24"/>
        </w:rPr>
        <w:t>(</w:t>
      </w:r>
      <w:r>
        <w:rPr>
          <w:rFonts w:ascii="宋体" w:hAnsi="宋体" w:hint="eastAsia"/>
          <w:sz w:val="24"/>
        </w:rPr>
        <w:t>以下简称“公司”</w:t>
      </w:r>
      <w:r>
        <w:rPr>
          <w:rFonts w:ascii="宋体" w:hAnsi="宋体" w:hint="eastAsia"/>
          <w:sz w:val="24"/>
        </w:rPr>
        <w:t>)</w:t>
      </w:r>
      <w:r>
        <w:rPr>
          <w:rFonts w:ascii="宋体" w:hAnsi="宋体" w:hint="eastAsia"/>
          <w:sz w:val="24"/>
        </w:rPr>
        <w:t>的独立董事，对公司第八届董事会第四十一次会议审议的有关议案进行了认真审阅，并发表如下独立意见：</w:t>
      </w:r>
    </w:p>
    <w:p w:rsidR="004A228C" w:rsidRDefault="002250B3">
      <w:pPr>
        <w:spacing w:beforeLines="50" w:before="156" w:afterLines="50" w:after="156"/>
        <w:ind w:firstLine="480"/>
        <w:rPr>
          <w:rFonts w:asciiTheme="minorEastAsia" w:hAnsiTheme="minorEastAsia"/>
          <w:b/>
          <w:bCs/>
          <w:sz w:val="24"/>
        </w:rPr>
      </w:pPr>
      <w:r>
        <w:rPr>
          <w:rFonts w:hint="eastAsia"/>
          <w:b/>
          <w:sz w:val="24"/>
        </w:rPr>
        <w:t>一、</w:t>
      </w:r>
      <w:r>
        <w:rPr>
          <w:rFonts w:asciiTheme="minorEastAsia" w:hAnsiTheme="minorEastAsia" w:hint="eastAsia"/>
          <w:b/>
          <w:bCs/>
          <w:sz w:val="24"/>
        </w:rPr>
        <w:t>《关于公司董事辞职及补选董事的议案》</w:t>
      </w:r>
    </w:p>
    <w:p w:rsidR="004A228C" w:rsidRDefault="002250B3">
      <w:pPr>
        <w:spacing w:beforeLines="50" w:before="156" w:afterLines="50" w:after="156"/>
        <w:ind w:firstLine="480"/>
        <w:rPr>
          <w:rFonts w:ascii="宋体" w:hAnsi="宋体"/>
          <w:color w:val="000000"/>
          <w:sz w:val="24"/>
        </w:rPr>
      </w:pPr>
      <w:r>
        <w:rPr>
          <w:rFonts w:ascii="宋体" w:hAnsi="宋体" w:hint="eastAsia"/>
          <w:color w:val="000000"/>
          <w:sz w:val="24"/>
        </w:rPr>
        <w:t>经审阅刘欣</w:t>
      </w:r>
      <w:r>
        <w:rPr>
          <w:rFonts w:asciiTheme="minorEastAsia" w:hAnsiTheme="minorEastAsia"/>
          <w:sz w:val="24"/>
        </w:rPr>
        <w:t>女士</w:t>
      </w:r>
      <w:r>
        <w:rPr>
          <w:rFonts w:ascii="宋体" w:hAnsi="宋体" w:hint="eastAsia"/>
          <w:color w:val="000000"/>
          <w:sz w:val="24"/>
        </w:rPr>
        <w:t>履历等材料，未发现其中有《公司法》第</w:t>
      </w:r>
      <w:r>
        <w:rPr>
          <w:rFonts w:ascii="宋体" w:hAnsi="宋体" w:hint="eastAsia"/>
          <w:color w:val="000000"/>
          <w:sz w:val="24"/>
        </w:rPr>
        <w:t>14</w:t>
      </w:r>
      <w:r>
        <w:rPr>
          <w:rFonts w:ascii="宋体" w:hAnsi="宋体"/>
          <w:color w:val="000000"/>
          <w:sz w:val="24"/>
        </w:rPr>
        <w:t>6</w:t>
      </w:r>
      <w:r>
        <w:rPr>
          <w:rFonts w:ascii="宋体" w:hAnsi="宋体" w:hint="eastAsia"/>
          <w:color w:val="000000"/>
          <w:sz w:val="24"/>
        </w:rPr>
        <w:t>条规定不得担任公司董事的情形，亦未有被中国证监会确定为市场禁入者且禁入尚未解除的现象，任职资格符合担任上市公司董事的条件，符合《公司法》、《公司章程》的有关规定。</w:t>
      </w:r>
    </w:p>
    <w:p w:rsidR="004A228C" w:rsidRDefault="002250B3">
      <w:pPr>
        <w:autoSpaceDE w:val="0"/>
        <w:autoSpaceDN w:val="0"/>
        <w:adjustRightInd w:val="0"/>
        <w:spacing w:beforeLines="50" w:before="156" w:afterLines="50" w:after="156"/>
        <w:ind w:firstLineChars="176" w:firstLine="424"/>
        <w:rPr>
          <w:rFonts w:asciiTheme="minorEastAsia" w:hAnsiTheme="minorEastAsia"/>
          <w:b/>
          <w:sz w:val="24"/>
        </w:rPr>
      </w:pPr>
      <w:r>
        <w:rPr>
          <w:rFonts w:asciiTheme="minorEastAsia" w:hAnsiTheme="minorEastAsia" w:hint="eastAsia"/>
          <w:b/>
          <w:sz w:val="24"/>
        </w:rPr>
        <w:t>二</w:t>
      </w:r>
      <w:r>
        <w:rPr>
          <w:rFonts w:asciiTheme="minorEastAsia" w:hAnsiTheme="minorEastAsia"/>
          <w:b/>
          <w:sz w:val="24"/>
        </w:rPr>
        <w:t>、</w:t>
      </w:r>
      <w:r>
        <w:rPr>
          <w:rFonts w:asciiTheme="minorEastAsia" w:hAnsiTheme="minorEastAsia" w:hint="eastAsia"/>
          <w:b/>
          <w:sz w:val="24"/>
        </w:rPr>
        <w:t>《关于续聘公司</w:t>
      </w:r>
      <w:r>
        <w:rPr>
          <w:rFonts w:asciiTheme="minorEastAsia" w:hAnsiTheme="minorEastAsia" w:hint="eastAsia"/>
          <w:b/>
          <w:sz w:val="24"/>
        </w:rPr>
        <w:t>2017</w:t>
      </w:r>
      <w:r>
        <w:rPr>
          <w:rFonts w:asciiTheme="minorEastAsia" w:hAnsiTheme="minorEastAsia" w:hint="eastAsia"/>
          <w:b/>
          <w:sz w:val="24"/>
        </w:rPr>
        <w:t>年度审计机构的议案》</w:t>
      </w:r>
    </w:p>
    <w:p w:rsidR="004A228C" w:rsidRDefault="002250B3">
      <w:pPr>
        <w:autoSpaceDE w:val="0"/>
        <w:autoSpaceDN w:val="0"/>
        <w:adjustRightInd w:val="0"/>
        <w:spacing w:beforeLines="50" w:before="156" w:afterLines="50" w:after="156"/>
        <w:ind w:firstLineChars="200" w:firstLine="480"/>
        <w:rPr>
          <w:rFonts w:asciiTheme="minorEastAsia" w:hAnsiTheme="minorEastAsia"/>
          <w:sz w:val="24"/>
        </w:rPr>
      </w:pPr>
      <w:r>
        <w:rPr>
          <w:rFonts w:asciiTheme="minorEastAsia" w:hAnsiTheme="minorEastAsia" w:hint="eastAsia"/>
          <w:sz w:val="24"/>
        </w:rPr>
        <w:t>经</w:t>
      </w:r>
      <w:r>
        <w:rPr>
          <w:rFonts w:asciiTheme="minorEastAsia" w:hAnsiTheme="minorEastAsia"/>
          <w:sz w:val="24"/>
        </w:rPr>
        <w:t>审阅，</w:t>
      </w:r>
      <w:r>
        <w:rPr>
          <w:rFonts w:asciiTheme="minorEastAsia" w:hAnsiTheme="minorEastAsia" w:hint="eastAsia"/>
          <w:sz w:val="24"/>
        </w:rPr>
        <w:t>中兴财光华会计师事务所具备证券期货相关业务审计资格，能够满足公司财务审计工作的要求，能够独立对公司财务状况进行审计。同意</w:t>
      </w:r>
      <w:r>
        <w:rPr>
          <w:rFonts w:asciiTheme="minorEastAsia" w:hAnsiTheme="minorEastAsia"/>
          <w:sz w:val="24"/>
        </w:rPr>
        <w:t>续聘其</w:t>
      </w:r>
      <w:r>
        <w:rPr>
          <w:rFonts w:asciiTheme="minorEastAsia" w:hAnsiTheme="minorEastAsia" w:hint="eastAsia"/>
          <w:sz w:val="24"/>
        </w:rPr>
        <w:t>为公司</w:t>
      </w:r>
      <w:r>
        <w:rPr>
          <w:rFonts w:ascii="宋体" w:hAnsi="宋体" w:cs="宋体" w:hint="eastAsia"/>
          <w:sz w:val="24"/>
        </w:rPr>
        <w:t>2017</w:t>
      </w:r>
      <w:r>
        <w:rPr>
          <w:rFonts w:hint="eastAsia"/>
          <w:sz w:val="24"/>
        </w:rPr>
        <w:t>年</w:t>
      </w:r>
      <w:r>
        <w:rPr>
          <w:rFonts w:ascii="宋体" w:hAnsi="宋体" w:hint="eastAsia"/>
          <w:sz w:val="24"/>
        </w:rPr>
        <w:t>财务报表和内部控制审计机构</w:t>
      </w:r>
      <w:r>
        <w:rPr>
          <w:rFonts w:asciiTheme="minorEastAsia" w:hAnsiTheme="minorEastAsia" w:hint="eastAsia"/>
          <w:sz w:val="24"/>
        </w:rPr>
        <w:t>。</w:t>
      </w:r>
    </w:p>
    <w:p w:rsidR="004A228C" w:rsidRDefault="002250B3">
      <w:pPr>
        <w:spacing w:beforeLines="50" w:before="156" w:afterLines="50" w:after="156"/>
        <w:ind w:firstLine="480"/>
        <w:rPr>
          <w:b/>
          <w:sz w:val="24"/>
        </w:rPr>
      </w:pPr>
      <w:r>
        <w:rPr>
          <w:rFonts w:asciiTheme="minorEastAsia" w:hAnsiTheme="minorEastAsia" w:hint="eastAsia"/>
          <w:b/>
          <w:bCs/>
          <w:sz w:val="24"/>
        </w:rPr>
        <w:t>三</w:t>
      </w:r>
      <w:r>
        <w:rPr>
          <w:rFonts w:asciiTheme="minorEastAsia" w:hAnsiTheme="minorEastAsia" w:hint="eastAsia"/>
          <w:b/>
          <w:bCs/>
          <w:sz w:val="24"/>
        </w:rPr>
        <w:t>、</w:t>
      </w:r>
      <w:r>
        <w:rPr>
          <w:rFonts w:hint="eastAsia"/>
          <w:b/>
          <w:bCs/>
          <w:sz w:val="24"/>
        </w:rPr>
        <w:t>《</w:t>
      </w:r>
      <w:r>
        <w:rPr>
          <w:rFonts w:hint="eastAsia"/>
          <w:b/>
          <w:sz w:val="24"/>
        </w:rPr>
        <w:t>关于使用募集资金置换预先投入募投项目自筹资金的议案》</w:t>
      </w:r>
    </w:p>
    <w:p w:rsidR="004A228C" w:rsidRDefault="002250B3">
      <w:pPr>
        <w:spacing w:beforeLines="50" w:before="156" w:afterLines="50" w:after="156"/>
        <w:ind w:firstLine="480"/>
        <w:rPr>
          <w:rFonts w:ascii="宋体" w:hAnsi="宋体"/>
          <w:sz w:val="24"/>
        </w:rPr>
      </w:pPr>
      <w:r>
        <w:rPr>
          <w:rFonts w:hint="eastAsia"/>
          <w:sz w:val="24"/>
        </w:rPr>
        <w:t>公司使用非公开发行股票募集资金置换预先已投入募集资金投资项目的自筹资金，</w:t>
      </w:r>
      <w:r>
        <w:rPr>
          <w:rFonts w:ascii="宋体" w:hAnsi="宋体" w:hint="eastAsia"/>
          <w:sz w:val="24"/>
        </w:rPr>
        <w:t>符合《上市公司监管指引第</w:t>
      </w:r>
      <w:r>
        <w:rPr>
          <w:rFonts w:ascii="宋体" w:hAnsi="宋体" w:hint="eastAsia"/>
          <w:sz w:val="24"/>
        </w:rPr>
        <w:t>2</w:t>
      </w:r>
      <w:r>
        <w:rPr>
          <w:rFonts w:ascii="宋体" w:hAnsi="宋体" w:hint="eastAsia"/>
          <w:sz w:val="24"/>
        </w:rPr>
        <w:t>号——上市公司募集资金管理和使用的监管要求》、《深圳证券交易所上市公司募集资金管理办法》、《公司募集资金管理制度》的相关规定，以及公司非公开发行股票方案的相关承诺，不存在变相改变募集资金投向和损害股东利益的情形，有利于提高募集资金使用效率，符合公司全体股东利益。同意公司使用募集资金置换已预先投入的自筹资金</w:t>
      </w:r>
      <w:r>
        <w:rPr>
          <w:rFonts w:ascii="宋体" w:hAnsi="宋体" w:hint="eastAsia"/>
          <w:sz w:val="24"/>
        </w:rPr>
        <w:t>4,671.52</w:t>
      </w:r>
      <w:r>
        <w:rPr>
          <w:rFonts w:ascii="宋体" w:hAnsi="宋体" w:hint="eastAsia"/>
          <w:sz w:val="24"/>
        </w:rPr>
        <w:t>万元。</w:t>
      </w:r>
    </w:p>
    <w:p w:rsidR="004A228C" w:rsidRDefault="004A228C">
      <w:pPr>
        <w:spacing w:beforeLines="50" w:before="156" w:afterLines="50" w:after="156"/>
        <w:ind w:firstLine="480"/>
        <w:rPr>
          <w:rFonts w:ascii="宋体" w:hAnsi="宋体"/>
          <w:sz w:val="24"/>
        </w:rPr>
      </w:pPr>
    </w:p>
    <w:p w:rsidR="004A228C" w:rsidRDefault="002250B3">
      <w:pPr>
        <w:spacing w:beforeLines="50" w:before="156" w:afterLines="50" w:after="156"/>
        <w:ind w:firstLine="480"/>
        <w:rPr>
          <w:rFonts w:ascii="宋体" w:hAnsi="宋体"/>
          <w:color w:val="000000"/>
          <w:sz w:val="24"/>
        </w:rPr>
      </w:pPr>
      <w:r>
        <w:rPr>
          <w:rFonts w:ascii="宋体" w:hAnsi="宋体" w:hint="eastAsia"/>
          <w:color w:val="000000"/>
          <w:sz w:val="24"/>
        </w:rPr>
        <w:t xml:space="preserve">                                </w:t>
      </w:r>
    </w:p>
    <w:p w:rsidR="004A228C" w:rsidRDefault="002250B3">
      <w:pPr>
        <w:spacing w:beforeLines="50" w:before="156" w:afterLines="50" w:after="156"/>
        <w:ind w:firstLine="480"/>
        <w:jc w:val="right"/>
        <w:rPr>
          <w:rFonts w:ascii="宋体" w:hAnsi="宋体"/>
          <w:sz w:val="24"/>
        </w:rPr>
      </w:pPr>
      <w:r>
        <w:rPr>
          <w:rFonts w:ascii="宋体" w:hAnsi="宋体" w:hint="eastAsia"/>
          <w:sz w:val="24"/>
        </w:rPr>
        <w:t>独立董事：陈方清、石英、聂兴凯</w:t>
      </w:r>
    </w:p>
    <w:tbl>
      <w:tblPr>
        <w:tblW w:w="5360" w:type="dxa"/>
        <w:jc w:val="right"/>
        <w:tblLayout w:type="fixed"/>
        <w:tblLook w:val="04A0" w:firstRow="1" w:lastRow="0" w:firstColumn="1" w:lastColumn="0" w:noHBand="0" w:noVBand="1"/>
      </w:tblPr>
      <w:tblGrid>
        <w:gridCol w:w="1376"/>
        <w:gridCol w:w="696"/>
        <w:gridCol w:w="1296"/>
        <w:gridCol w:w="696"/>
        <w:gridCol w:w="1296"/>
      </w:tblGrid>
      <w:tr w:rsidR="004A228C">
        <w:trPr>
          <w:trHeight w:val="948"/>
          <w:jc w:val="right"/>
        </w:trPr>
        <w:tc>
          <w:tcPr>
            <w:tcW w:w="1376" w:type="dxa"/>
            <w:tcBorders>
              <w:top w:val="nil"/>
              <w:left w:val="nil"/>
              <w:bottom w:val="single" w:sz="4" w:space="0" w:color="auto"/>
              <w:right w:val="nil"/>
            </w:tcBorders>
            <w:shd w:val="clear" w:color="auto" w:fill="auto"/>
            <w:vAlign w:val="center"/>
          </w:tcPr>
          <w:p w:rsidR="004A228C" w:rsidRDefault="004A228C">
            <w:pPr>
              <w:widowControl/>
              <w:jc w:val="left"/>
              <w:rPr>
                <w:rFonts w:ascii="黑体" w:eastAsia="黑体" w:hAnsi="黑体" w:cs="宋体"/>
                <w:color w:val="000000"/>
                <w:kern w:val="0"/>
                <w:sz w:val="22"/>
                <w:szCs w:val="22"/>
              </w:rPr>
            </w:pPr>
          </w:p>
        </w:tc>
        <w:tc>
          <w:tcPr>
            <w:tcW w:w="696" w:type="dxa"/>
            <w:tcBorders>
              <w:top w:val="nil"/>
              <w:left w:val="nil"/>
              <w:bottom w:val="nil"/>
              <w:right w:val="nil"/>
            </w:tcBorders>
            <w:shd w:val="clear" w:color="auto" w:fill="auto"/>
            <w:vAlign w:val="center"/>
          </w:tcPr>
          <w:p w:rsidR="004A228C" w:rsidRDefault="004A228C">
            <w:pPr>
              <w:widowControl/>
              <w:jc w:val="left"/>
              <w:rPr>
                <w:rFonts w:ascii="黑体" w:eastAsia="黑体" w:hAnsi="黑体" w:cs="宋体"/>
                <w:color w:val="000000"/>
                <w:kern w:val="0"/>
                <w:sz w:val="22"/>
                <w:szCs w:val="22"/>
              </w:rPr>
            </w:pPr>
          </w:p>
        </w:tc>
        <w:tc>
          <w:tcPr>
            <w:tcW w:w="1296" w:type="dxa"/>
            <w:tcBorders>
              <w:top w:val="nil"/>
              <w:left w:val="nil"/>
              <w:bottom w:val="single" w:sz="4" w:space="0" w:color="auto"/>
              <w:right w:val="nil"/>
            </w:tcBorders>
            <w:shd w:val="clear" w:color="auto" w:fill="auto"/>
            <w:vAlign w:val="center"/>
          </w:tcPr>
          <w:p w:rsidR="004A228C" w:rsidRDefault="004A228C">
            <w:pPr>
              <w:widowControl/>
              <w:jc w:val="left"/>
              <w:rPr>
                <w:rFonts w:ascii="黑体" w:eastAsia="黑体" w:hAnsi="黑体" w:cs="宋体"/>
                <w:color w:val="000000"/>
                <w:kern w:val="0"/>
                <w:sz w:val="22"/>
                <w:szCs w:val="22"/>
              </w:rPr>
            </w:pPr>
          </w:p>
        </w:tc>
        <w:tc>
          <w:tcPr>
            <w:tcW w:w="696" w:type="dxa"/>
            <w:tcBorders>
              <w:top w:val="nil"/>
              <w:left w:val="nil"/>
              <w:bottom w:val="nil"/>
              <w:right w:val="nil"/>
            </w:tcBorders>
            <w:shd w:val="clear" w:color="auto" w:fill="auto"/>
            <w:vAlign w:val="center"/>
          </w:tcPr>
          <w:p w:rsidR="004A228C" w:rsidRDefault="004A228C">
            <w:pPr>
              <w:widowControl/>
              <w:jc w:val="left"/>
              <w:rPr>
                <w:rFonts w:ascii="黑体" w:eastAsia="黑体" w:hAnsi="黑体" w:cs="宋体"/>
                <w:color w:val="000000"/>
                <w:kern w:val="0"/>
                <w:sz w:val="22"/>
                <w:szCs w:val="22"/>
              </w:rPr>
            </w:pPr>
          </w:p>
        </w:tc>
        <w:tc>
          <w:tcPr>
            <w:tcW w:w="1296" w:type="dxa"/>
            <w:tcBorders>
              <w:top w:val="nil"/>
              <w:left w:val="nil"/>
              <w:bottom w:val="single" w:sz="4" w:space="0" w:color="auto"/>
              <w:right w:val="nil"/>
            </w:tcBorders>
            <w:shd w:val="clear" w:color="auto" w:fill="auto"/>
            <w:vAlign w:val="center"/>
          </w:tcPr>
          <w:p w:rsidR="004A228C" w:rsidRDefault="004A228C">
            <w:pPr>
              <w:widowControl/>
              <w:jc w:val="left"/>
              <w:rPr>
                <w:rFonts w:ascii="黑体" w:eastAsia="黑体" w:hAnsi="黑体" w:cs="宋体"/>
                <w:color w:val="000000"/>
                <w:kern w:val="0"/>
                <w:sz w:val="22"/>
                <w:szCs w:val="22"/>
              </w:rPr>
            </w:pPr>
          </w:p>
        </w:tc>
      </w:tr>
    </w:tbl>
    <w:p w:rsidR="004A228C" w:rsidRDefault="004A228C">
      <w:pPr>
        <w:spacing w:beforeLines="50" w:before="156" w:afterLines="50" w:after="156"/>
        <w:jc w:val="right"/>
        <w:rPr>
          <w:rFonts w:ascii="宋体" w:hAnsi="宋体"/>
          <w:sz w:val="24"/>
        </w:rPr>
      </w:pPr>
    </w:p>
    <w:p w:rsidR="004A228C" w:rsidRDefault="002250B3">
      <w:pPr>
        <w:spacing w:beforeLines="50" w:before="156" w:afterLines="50" w:after="156"/>
        <w:jc w:val="right"/>
        <w:rPr>
          <w:rFonts w:ascii="宋体" w:hAnsi="宋体"/>
        </w:rPr>
      </w:pPr>
      <w:r>
        <w:rPr>
          <w:rFonts w:ascii="宋体" w:hAnsi="宋体"/>
          <w:sz w:val="24"/>
        </w:rPr>
        <w:t>2017</w:t>
      </w:r>
      <w:r>
        <w:rPr>
          <w:rFonts w:ascii="宋体" w:hAnsi="宋体"/>
          <w:sz w:val="24"/>
        </w:rPr>
        <w:t>年</w:t>
      </w:r>
      <w:r>
        <w:rPr>
          <w:rFonts w:ascii="宋体" w:hAnsi="宋体"/>
          <w:sz w:val="24"/>
        </w:rPr>
        <w:t xml:space="preserve"> 1</w:t>
      </w:r>
      <w:r>
        <w:rPr>
          <w:rFonts w:ascii="宋体" w:hAnsi="宋体" w:hint="eastAsia"/>
          <w:sz w:val="24"/>
        </w:rPr>
        <w:t>2</w:t>
      </w:r>
      <w:r>
        <w:rPr>
          <w:rFonts w:ascii="宋体" w:hAnsi="宋体"/>
          <w:sz w:val="24"/>
        </w:rPr>
        <w:t xml:space="preserve"> </w:t>
      </w:r>
      <w:r>
        <w:rPr>
          <w:rFonts w:ascii="宋体" w:hAnsi="宋体" w:hint="eastAsia"/>
          <w:sz w:val="24"/>
        </w:rPr>
        <w:t>月</w:t>
      </w:r>
      <w:r>
        <w:rPr>
          <w:rFonts w:ascii="宋体" w:hAnsi="宋体" w:hint="eastAsia"/>
          <w:sz w:val="24"/>
        </w:rPr>
        <w:t>21</w:t>
      </w:r>
      <w:r>
        <w:rPr>
          <w:rFonts w:ascii="宋体" w:hAnsi="宋体" w:hint="eastAsia"/>
          <w:sz w:val="24"/>
        </w:rPr>
        <w:t>日</w:t>
      </w:r>
    </w:p>
    <w:sectPr w:rsidR="004A2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563B"/>
    <w:rsid w:val="00043BFA"/>
    <w:rsid w:val="00056C3C"/>
    <w:rsid w:val="0006066E"/>
    <w:rsid w:val="0007727E"/>
    <w:rsid w:val="00083F8A"/>
    <w:rsid w:val="000C593A"/>
    <w:rsid w:val="000D7BA4"/>
    <w:rsid w:val="000E3A96"/>
    <w:rsid w:val="00131E9E"/>
    <w:rsid w:val="00146033"/>
    <w:rsid w:val="00185E27"/>
    <w:rsid w:val="0019422B"/>
    <w:rsid w:val="001A545D"/>
    <w:rsid w:val="001A7EFF"/>
    <w:rsid w:val="001B4E07"/>
    <w:rsid w:val="001C50E9"/>
    <w:rsid w:val="002250B3"/>
    <w:rsid w:val="0022750F"/>
    <w:rsid w:val="00240D72"/>
    <w:rsid w:val="00242DF5"/>
    <w:rsid w:val="00294B89"/>
    <w:rsid w:val="002B7A16"/>
    <w:rsid w:val="002F5302"/>
    <w:rsid w:val="0032215A"/>
    <w:rsid w:val="00353860"/>
    <w:rsid w:val="00386D1D"/>
    <w:rsid w:val="003933E9"/>
    <w:rsid w:val="003C3AC4"/>
    <w:rsid w:val="003F5A3D"/>
    <w:rsid w:val="003F6D8C"/>
    <w:rsid w:val="004051C6"/>
    <w:rsid w:val="00421780"/>
    <w:rsid w:val="0045542C"/>
    <w:rsid w:val="00457417"/>
    <w:rsid w:val="0046046A"/>
    <w:rsid w:val="00472A20"/>
    <w:rsid w:val="0048008A"/>
    <w:rsid w:val="004A228C"/>
    <w:rsid w:val="004B7AE5"/>
    <w:rsid w:val="004D0ED6"/>
    <w:rsid w:val="004F3141"/>
    <w:rsid w:val="00501A0D"/>
    <w:rsid w:val="00504FF8"/>
    <w:rsid w:val="00514531"/>
    <w:rsid w:val="00515F0B"/>
    <w:rsid w:val="00553162"/>
    <w:rsid w:val="0056440A"/>
    <w:rsid w:val="00570B9D"/>
    <w:rsid w:val="00592DE9"/>
    <w:rsid w:val="00594393"/>
    <w:rsid w:val="0059563B"/>
    <w:rsid w:val="005956B3"/>
    <w:rsid w:val="005D113A"/>
    <w:rsid w:val="005D7B51"/>
    <w:rsid w:val="005F323A"/>
    <w:rsid w:val="00604638"/>
    <w:rsid w:val="00627B6E"/>
    <w:rsid w:val="00647BAC"/>
    <w:rsid w:val="00655E99"/>
    <w:rsid w:val="006724BC"/>
    <w:rsid w:val="00681123"/>
    <w:rsid w:val="0069162E"/>
    <w:rsid w:val="006A0C80"/>
    <w:rsid w:val="006A5872"/>
    <w:rsid w:val="006A6D05"/>
    <w:rsid w:val="006B316C"/>
    <w:rsid w:val="00706242"/>
    <w:rsid w:val="007109D6"/>
    <w:rsid w:val="00746F18"/>
    <w:rsid w:val="007543C5"/>
    <w:rsid w:val="00764714"/>
    <w:rsid w:val="00772851"/>
    <w:rsid w:val="00791233"/>
    <w:rsid w:val="007D1AC9"/>
    <w:rsid w:val="007D20FE"/>
    <w:rsid w:val="007D48E6"/>
    <w:rsid w:val="007E6EBB"/>
    <w:rsid w:val="00811952"/>
    <w:rsid w:val="00821E9F"/>
    <w:rsid w:val="00823E4D"/>
    <w:rsid w:val="0084024C"/>
    <w:rsid w:val="008441CA"/>
    <w:rsid w:val="0086346F"/>
    <w:rsid w:val="00865051"/>
    <w:rsid w:val="00875B96"/>
    <w:rsid w:val="008854CC"/>
    <w:rsid w:val="00891A3A"/>
    <w:rsid w:val="008A0E5C"/>
    <w:rsid w:val="008A5124"/>
    <w:rsid w:val="008C058F"/>
    <w:rsid w:val="008E1519"/>
    <w:rsid w:val="008F7B7E"/>
    <w:rsid w:val="00921DD8"/>
    <w:rsid w:val="009275FE"/>
    <w:rsid w:val="009416C5"/>
    <w:rsid w:val="00955AEA"/>
    <w:rsid w:val="00974941"/>
    <w:rsid w:val="009A4E70"/>
    <w:rsid w:val="009D45D2"/>
    <w:rsid w:val="00A0455D"/>
    <w:rsid w:val="00A30CE9"/>
    <w:rsid w:val="00A37644"/>
    <w:rsid w:val="00A41C90"/>
    <w:rsid w:val="00A4751A"/>
    <w:rsid w:val="00A610ED"/>
    <w:rsid w:val="00AA0E88"/>
    <w:rsid w:val="00AA46CC"/>
    <w:rsid w:val="00AC0AF8"/>
    <w:rsid w:val="00AE3083"/>
    <w:rsid w:val="00B012A4"/>
    <w:rsid w:val="00B0697D"/>
    <w:rsid w:val="00B10362"/>
    <w:rsid w:val="00B1160E"/>
    <w:rsid w:val="00B143BE"/>
    <w:rsid w:val="00B21BB8"/>
    <w:rsid w:val="00B5301E"/>
    <w:rsid w:val="00B70F9B"/>
    <w:rsid w:val="00B80945"/>
    <w:rsid w:val="00B94B90"/>
    <w:rsid w:val="00BC5805"/>
    <w:rsid w:val="00BC7BAD"/>
    <w:rsid w:val="00BD5B9D"/>
    <w:rsid w:val="00BF2CEE"/>
    <w:rsid w:val="00C04F78"/>
    <w:rsid w:val="00C0513C"/>
    <w:rsid w:val="00C32C4C"/>
    <w:rsid w:val="00C361C8"/>
    <w:rsid w:val="00C51E68"/>
    <w:rsid w:val="00C757A4"/>
    <w:rsid w:val="00C81EE3"/>
    <w:rsid w:val="00C87DF5"/>
    <w:rsid w:val="00C91103"/>
    <w:rsid w:val="00C9568C"/>
    <w:rsid w:val="00CA2391"/>
    <w:rsid w:val="00CC44BC"/>
    <w:rsid w:val="00D00BA1"/>
    <w:rsid w:val="00D13151"/>
    <w:rsid w:val="00D230AF"/>
    <w:rsid w:val="00D27A98"/>
    <w:rsid w:val="00D33061"/>
    <w:rsid w:val="00D52A94"/>
    <w:rsid w:val="00DA55F1"/>
    <w:rsid w:val="00DB4555"/>
    <w:rsid w:val="00DB7E9A"/>
    <w:rsid w:val="00DC374B"/>
    <w:rsid w:val="00DC6081"/>
    <w:rsid w:val="00DD1405"/>
    <w:rsid w:val="00DF33D9"/>
    <w:rsid w:val="00E271C0"/>
    <w:rsid w:val="00E91E80"/>
    <w:rsid w:val="00EC6E81"/>
    <w:rsid w:val="00F01C95"/>
    <w:rsid w:val="00F03A15"/>
    <w:rsid w:val="00F06EC0"/>
    <w:rsid w:val="00F24689"/>
    <w:rsid w:val="00F85DAC"/>
    <w:rsid w:val="00F94AA8"/>
    <w:rsid w:val="00FA0725"/>
    <w:rsid w:val="00FA2268"/>
    <w:rsid w:val="00FB3E6D"/>
    <w:rsid w:val="00FC2761"/>
    <w:rsid w:val="00FF47A8"/>
    <w:rsid w:val="02025EC9"/>
    <w:rsid w:val="08DE1D9A"/>
    <w:rsid w:val="255A1133"/>
    <w:rsid w:val="2A9A343D"/>
    <w:rsid w:val="34F70FE4"/>
    <w:rsid w:val="356F22FD"/>
    <w:rsid w:val="3F9B2C68"/>
    <w:rsid w:val="47D873A4"/>
    <w:rsid w:val="4E22416C"/>
    <w:rsid w:val="56483E36"/>
    <w:rsid w:val="5AE64279"/>
    <w:rsid w:val="5C58354A"/>
    <w:rsid w:val="60AC6DEC"/>
    <w:rsid w:val="66BB609C"/>
    <w:rsid w:val="7B274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763A2-6E40-4E9D-924A-C19B631D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before="50" w:after="50"/>
      <w:ind w:firstLineChars="200" w:firstLine="480"/>
    </w:pPr>
    <w:rPr>
      <w:sz w:val="24"/>
    </w:rPr>
  </w:style>
  <w:style w:type="paragraph" w:styleId="a3">
    <w:name w:val="Balloon Text"/>
    <w:basedOn w:val="a"/>
    <w:semiHidden/>
    <w:qFormat/>
    <w:rPr>
      <w:sz w:val="18"/>
      <w:szCs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3"/>
    <w:qFormat/>
    <w:pPr>
      <w:spacing w:line="240" w:lineRule="atLeast"/>
      <w:jc w:val="left"/>
    </w:pPr>
    <w:rPr>
      <w:kern w:val="0"/>
      <w:sz w:val="24"/>
      <w:szCs w:val="21"/>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teamsun</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北京华胜天成科技股份有限公司独立董事</dc:title>
  <dc:creator>liuxin</dc:creator>
  <cp:lastModifiedBy>King123</cp:lastModifiedBy>
  <cp:revision>69</cp:revision>
  <cp:lastPrinted>2014-03-13T10:33:00Z</cp:lastPrinted>
  <dcterms:created xsi:type="dcterms:W3CDTF">2014-07-24T03:21:00Z</dcterms:created>
  <dcterms:modified xsi:type="dcterms:W3CDTF">2017-12-21T09:25:00Z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